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496</w:t>
      </w:r>
    </w:p>
    <w:p>
      <w:r>
        <w:t>Bundesgericht (BGE), 2014-08-27, FR</w:t>
      </w:r>
    </w:p>
    <w:p>
      <w:r>
        <w:rPr>
          <w:b/>
        </w:rPr>
        <w:t xml:space="preserve">Quelle: </w:t>
      </w:r>
      <w:r>
        <w:t>https://mcp.opencaselaw.ch/entscheid/bge_140 III 496</w:t>
      </w:r>
    </w:p>
    <w:p>
      <w:r>
        <w:t>FR: ATF 140 III 496</w:t>
      </w:r>
    </w:p>
    <w:p>
      <w:r>
        <w:t>IT: DTF 140 III 496</w:t>
      </w:r>
    </w:p>
    <w:p>
      <w:pPr>
        <w:pStyle w:val="Heading2"/>
      </w:pPr>
      <w:r>
        <w:t>Regeste</w:t>
      </w:r>
    </w:p>
    <w:p>
      <w:r>
        <w:t>Regeste Miete; gegen Treu und Glauben verstossende Kündigung (Art. 271 Abs. 1 OR). Die Kündigung im Hinblick auf Umbau- oder Renovationsarbeiten ist missbräuchlich, wenn das Projekt des Vermieters mit den Bestimmungen des öffentlichen Rechts offensichtlich unvereinbar ist, so dass die notwendigen Bewilligungen mit Sicherheit nicht erlangt werden können (E. 4.1 und 4.2.1). Eine derartige Kündigung widerspricht ebenfalls Treu und Glauben, wenn das Projekt des Vermieters im Moment, in dem die Kündigung ausgesprochen und dem Mieter zur Kenntnis gebracht wird, nicht hinreichend fortgeschritten und ausgearbeitet ist, um das Ausmass der geplanten Arbeiten abschätzen zu können und so zu bestimmen, ob diese einen Wegzug des Mieters erfordern (E. 4.1 und 4.2.2).</w:t>
      </w:r>
    </w:p>
    <w:p>
      <w:pPr>
        <w:pStyle w:val="Heading2"/>
      </w:pPr>
      <w:r>
        <w:t>Erwägungen</w:t>
      </w:r>
    </w:p>
    <w:p>
      <w:r>
        <w:rPr>
          <w:b/>
        </w:rPr>
        <w:t>E. 4</w:t>
      </w:r>
    </w:p>
    <w:p>
      <w:r>
        <w:t>Invoquant la protection contre les congés abusifs, les recourants se plaignent essentiellement d'une violation de l' art. 271 al. 1 CO . BGE 140 III 496 S. 497</w:t>
      </w:r>
    </w:p>
    <w:p>
      <w:r>
        <w:rPr>
          <w:b/>
        </w:rPr>
        <w:t>E. 4.1</w:t>
      </w:r>
    </w:p>
    <w:p>
      <w:r>
        <w:t>Les parties au contrat sont libres de résilier un bail de durée indéterminée pour le prochain terme légal ou contractuel; un motif particulier n'est pas exigé ( art. 266a al. 1 CO ). Le congé est toutefois annulable lorsqu'il contrevient aux règles de la bonne foi ( art. 271 al. 1 CO ; cf. également art. 271a CO ).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 ATF 138 III 59 consid. 2.1 p. 61 s. et les arrêts cités). Dans un arrêt de principe rendu en 2008 ( ATF 135 III 112 ),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(arrêt précité point A et consid. 4.2 p. 119 s.).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(arrêt 4A_210/2014 du BGE 140 III 496 S. 498 17 juillet 2014 consid. 3.1 et les arrêts cités; cf. également ATF 136 III 190 consid. 4 p. 194 s.).</w:t>
      </w:r>
    </w:p>
    <w:p>
      <w:r>
        <w:rPr>
          <w:b/>
        </w:rPr>
        <w:t>E. 4.2.1</w:t>
      </w:r>
    </w:p>
    <w:p>
      <w:r>
        <w:t>Les recourants soutiennent que les congés sont abusifs au motif que les travaux projetés sont incompatibles avec le droit public, plus précisément avec la loi vaudoise du 4 mars 1985 concernant la démolition, la transformation et la rénovation de maisons d'habitation, ainsi que l'utilisation de logements à d'autres fins que l'habitation (LDTR/VD; RSV 840.15). La LDTR/VD soumet à autorisation la transformation et la rénovation, totales ou partielles, de maisons d'habitation; par rénovation, elle entend tous travaux d'une certaine importance, apportant une plus-value à l'immeuble, à l'exclusion des travaux d'entretien courant (art. 1). En règle générale, l'autorisation est refusée lorsque l'immeuble en cause comprend des logements d'une catégorie où sévit la pénurie (art. 3). L'autorisation est accordée pour des motifs de sécurité, de salubrité ou d'intérêt général; elle peut l'être à titre exceptionnel si d'autres circonstances le commandent impérativement (art. 4 al. 1). Le règlement d'application du 6 mai 1988 (RLDTR/VD; RSV 840.15.1) précise, d'une part, que le propriétaire peut être dispensé de présenter une demande d'autorisation lorsque les travaux envisagés représentent un coût inférieur aux 20 % de la valeur à neuf de l'assurance-incendie de l'immeuble (art. 1 al. 2) et, d'autre part, que l'autorisation est accordée en particulier lorsque l'opération envisagée apparaît indispensable ou opportune sur le plan technique (art. 12 al. 1). Les recourants sont d'avis que le RLDTR/VD est en partie (art. 12 al. 1) incompatible avec la LDTR/VD. Ils critiquent longuement la pratique, à leur sens trop large, de l'administration cantonale en la matière et entendent démontrer que le projet des intimés est totalement incompatible avec ce qu'ils estiment être une application correcte de la LDTR/VD. Ce faisant, ils oublient que l'enjeu ne se situe pas là. En effet, le point n'est pas de savoir si l'administration cantonale applique correctement la LDTR/VD ou si le RLDTR/VD se concilie avec la LDTR/VD, questions que le Tribunal fédéral ne pourrait au demeurant revoir que sous l'angle de l'arbitraire; il n'est pas non plus nécessaire de se demander si une législation cantonale aussi restrictive et absolue que l'entendent les locataires serait compatible avec le droit fédéral (cf. ATF 113 Ia 126 consid. 7b/aa p. 134 ss). BGE 140 III 496 S. 499 Dans la présente cause, il s'agit uniquement d'examiner si les congés, motivés par des travaux futurs, contreviennent aux règles de la bonne foi parce que, au moment où ils ont été donnés, l'autorisation, par l'administration cantonale, des travaux envisagés apparaissait de toute évidence exclue. A cet égard, il faut souligner que la législation cantonale accorde un important pouvoir d'appréciation à l'administration pour autoriser des projets, pouvoir dont celle-ci fait largement usage selon ce que les locataires affirment eux-mêmes. En règle générale, il ne devrait donc guère être possible de prédire que l'administration, de toute évidence, refusera une autorisation au sens de la LDTR/VD. En l'espèce, les éléments apportés par les locataires, à qui le fardeau de la preuve incombe, ne sont en tout cas pas à même de démontrer que le projet de rénovation ici en cause est de toute évidence incompatible avec les règles de droit public applicables et que les bailleurs n'obtiendront assurément pas les autorisations nécessaires. Sous cet angle, le grief tiré d'une violation de l' art. 271 al. 1 CO se révèle mal fondé.</w:t>
      </w:r>
    </w:p>
    <w:p>
      <w:r>
        <w:rPr>
          <w:b/>
        </w:rPr>
        <w:t>E. 4.2.2</w:t>
      </w:r>
    </w:p>
    <w:p>
      <w:r>
        <w:t>Selon les recourants, les résiliations sont également abusives pour une autre raison; au moment où les congés ont été signifiés, les travaux projetés ne seraient pas encore arrivés à maturité et n'auraient pas présenté de réalité tangible. Comme déjà relevé,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(arrêts 4A_425/2009 du 11 novembre 2009 consid. 3.2.2; 4A_518/2010 du 16 décembre 2010 consid. 2.4.2). En outre, faute de renseignements suffisamment précis, le locataire n'est pas en mesure de se faire une idée sur la réalité des intentions du bailleur et sur la gêne que sa présence entraînerait pour l'exécution BGE 140 III 496 S. 500 des travaux envisagés; or, il a le droit d'obtenir du bailleur une motivation qui lui permette d'apprécier ses chances de contester le congé avec succès et de décider en connaissance de cause, dans les trente jours suivant la réception de la résiliation ( art. 273 al. 1 CO ), s'il entend procéder ( art. 271 al. 2 CO ). En l'espèce, la motivation donnée par les intimés et le gérant à l'époque de la notification des congés en mai 2010 est succincte et très générale: "rénovation, transformation, restructuration", respectivement "restructuration de l'étage". Sur cette base, les locataires ne pouvaient guère imaginer quels travaux précis les toucheraient individuellement. La Cour d'appel civile a retenu que le gérant avait visité les immeubles en février 2010 et transmis les plans de l'état actuel à l'un des bailleurs, que des plans indiquant les murs à démolir avaient été établis en juin 2010, que le gérant avait rédigé en août 2010 un rapport établissant un diagnostic sommaire destiné à donner une première évaluation de l'état des immeubles et à faire une première estimation des coûts d'une remise en état avant de passer à des études plus approfondies, qu'un architecte avait établi en avril 2011 un rapport sur les travaux à exécuter et que la mise à l'enquête avait commencé le 3 août 2011. A l'exception de la visite des immeubles par le gérant en février 2010, toutes ces opérations sont postérieures à la résiliation des baux. Il ne ressort ainsi pas des faits constatés par la cour cantonale qu'au moment où les congés ont été donnés, les bailleurs disposaient d'un projet un tant soit peu élaboré; rien ne permet même de retenir qu'il existait une simple ébauche des travaux futurs. Or, à elle seule, la ferme intention générale de transformer et rénover les immeubles ne saurait être considérée comme déterminante. Par conséquent, il y a lieu d'admettre que les congés du 19 mai 2010, à tout le moins prématurés, contreviennent aux règles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